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令和８年度契約対象見積書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射水市長　　あて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団体名</w:t>
      </w:r>
      <w:r>
        <w:rPr>
          <w:rFonts w:hint="eastAsia" w:ascii="ＭＳ 明朝" w:hAnsi="ＭＳ 明朝" w:eastAsia="ＭＳ 明朝"/>
          <w:sz w:val="22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射水市歌の森運動公園大型遊具等更新工事提案の応募にあたり、関係法令及び実施要領を承知の上、次の金額を見積ります。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8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令和８年度契約対象見積金額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【内訳】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（１）設計費</w:t>
      </w:r>
    </w:p>
    <w:p>
      <w:pPr>
        <w:pStyle w:val="0"/>
        <w:ind w:firstLine="1120" w:firstLineChars="4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（２）工事費</w:t>
      </w:r>
    </w:p>
    <w:p>
      <w:pPr>
        <w:pStyle w:val="0"/>
        <w:ind w:firstLine="1120" w:firstLineChars="4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※上記の詳細な内訳を様式第７－４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号に記載すること。</w:t>
      </w:r>
    </w:p>
    <w:sectPr>
      <w:headerReference r:id="rId5" w:type="default"/>
      <w:pgSz w:w="11906" w:h="16838"/>
      <w:pgMar w:top="1134" w:right="1134" w:bottom="1134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（様式第７－３号）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0</Words>
  <Characters>169</Characters>
  <Application>JUST Note</Application>
  <Lines>32</Lines>
  <Paragraphs>17</Paragraphs>
  <Company>-</Company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2024-09-30T02:43:00Z</cp:lastPrinted>
  <dcterms:created xsi:type="dcterms:W3CDTF">2021-03-24T02:18:00Z</dcterms:created>
  <dcterms:modified xsi:type="dcterms:W3CDTF">2026-02-03T05:12:40Z</dcterms:modified>
  <cp:revision>1</cp:revision>
</cp:coreProperties>
</file>